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791"/>
        <w:gridCol w:w="1495"/>
        <w:gridCol w:w="792"/>
        <w:gridCol w:w="792"/>
        <w:gridCol w:w="785"/>
        <w:gridCol w:w="761"/>
        <w:gridCol w:w="742"/>
        <w:gridCol w:w="734"/>
        <w:gridCol w:w="792"/>
      </w:tblGrid>
      <w:tr w:rsidR="00F838B6" w:rsidRPr="00F838B6" w:rsidTr="004D588D">
        <w:trPr>
          <w:trHeight w:val="300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B6" w:rsidRPr="00F838B6" w:rsidTr="004D588D">
        <w:trPr>
          <w:trHeight w:val="31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838B6" w:rsidRPr="00F838B6" w:rsidRDefault="00F838B6" w:rsidP="00F83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Сводные данные о результатах проведенной специальной оценки условий труда</w:t>
            </w:r>
          </w:p>
        </w:tc>
      </w:tr>
      <w:tr w:rsidR="00F838B6" w:rsidRPr="00F838B6" w:rsidTr="004D588D">
        <w:trPr>
          <w:trHeight w:val="375"/>
        </w:trPr>
        <w:tc>
          <w:tcPr>
            <w:tcW w:w="957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838B6" w:rsidRPr="00F838B6" w:rsidRDefault="00F838B6" w:rsidP="00F8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8B6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комиссиями по проведению специальной оценки условий труда Общества совместно с экспертами ООО «НефтегазТехЭкспертиза», в соответствии со статьей №212 Трудового кодекса Российской Федерации, требованиями Федерального закона от 28 декабря 2013 г. № 426-ФЗ «О специальной оценке условий труда», реализован  комплекс последовательно осуществляемых мероприятий по проведению специальной оценки условий труда на 1150 рабочих </w:t>
            </w:r>
            <w:bookmarkStart w:id="0" w:name="_GoBack"/>
            <w:bookmarkEnd w:id="0"/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местах Общества.</w:t>
            </w:r>
            <w:proofErr w:type="gramEnd"/>
          </w:p>
        </w:tc>
      </w:tr>
      <w:tr w:rsidR="00F838B6" w:rsidRPr="00F838B6" w:rsidTr="004D588D">
        <w:trPr>
          <w:trHeight w:val="1440"/>
        </w:trPr>
        <w:tc>
          <w:tcPr>
            <w:tcW w:w="957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B6" w:rsidRPr="00F838B6" w:rsidTr="004D588D">
        <w:trPr>
          <w:trHeight w:val="330"/>
        </w:trPr>
        <w:tc>
          <w:tcPr>
            <w:tcW w:w="957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B6" w:rsidRPr="00F838B6" w:rsidTr="004D588D">
        <w:trPr>
          <w:trHeight w:val="960"/>
        </w:trPr>
        <w:tc>
          <w:tcPr>
            <w:tcW w:w="1889" w:type="dxa"/>
            <w:vMerge w:val="restart"/>
            <w:tcBorders>
              <w:top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686" w:type="dxa"/>
            <w:gridSpan w:val="7"/>
            <w:tcBorders>
              <w:top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838B6" w:rsidRPr="00F838B6" w:rsidTr="004D588D">
        <w:trPr>
          <w:trHeight w:val="315"/>
        </w:trPr>
        <w:tc>
          <w:tcPr>
            <w:tcW w:w="1889" w:type="dxa"/>
            <w:vMerge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792" w:type="dxa"/>
            <w:vMerge w:val="restart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3310" w:type="dxa"/>
            <w:gridSpan w:val="4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792" w:type="dxa"/>
            <w:vMerge w:val="restart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F838B6" w:rsidRPr="00F838B6" w:rsidTr="004D588D">
        <w:trPr>
          <w:trHeight w:val="2565"/>
        </w:trPr>
        <w:tc>
          <w:tcPr>
            <w:tcW w:w="1889" w:type="dxa"/>
            <w:vMerge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838B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92" w:type="dxa"/>
            <w:vMerge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34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2" w:type="dxa"/>
            <w:vMerge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B6" w:rsidRPr="00F838B6" w:rsidTr="004D588D">
        <w:trPr>
          <w:trHeight w:val="315"/>
        </w:trPr>
        <w:tc>
          <w:tcPr>
            <w:tcW w:w="1889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8B6" w:rsidRPr="00F838B6" w:rsidTr="004D588D">
        <w:trPr>
          <w:trHeight w:val="315"/>
        </w:trPr>
        <w:tc>
          <w:tcPr>
            <w:tcW w:w="1889" w:type="dxa"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791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205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8B6" w:rsidRPr="00F838B6" w:rsidTr="004D588D">
        <w:trPr>
          <w:trHeight w:val="525"/>
        </w:trPr>
        <w:tc>
          <w:tcPr>
            <w:tcW w:w="1889" w:type="dxa"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791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205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8B6" w:rsidRPr="00F838B6" w:rsidTr="004D588D">
        <w:trPr>
          <w:trHeight w:val="315"/>
        </w:trPr>
        <w:tc>
          <w:tcPr>
            <w:tcW w:w="1889" w:type="dxa"/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791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05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8B6" w:rsidRPr="00F838B6" w:rsidTr="004D588D">
        <w:trPr>
          <w:trHeight w:val="525"/>
        </w:trPr>
        <w:tc>
          <w:tcPr>
            <w:tcW w:w="1889" w:type="dxa"/>
            <w:tcBorders>
              <w:bottom w:val="single" w:sz="4" w:space="0" w:color="auto"/>
            </w:tcBorders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8B6" w:rsidRPr="00F838B6" w:rsidTr="004D588D">
        <w:trPr>
          <w:trHeight w:val="315"/>
        </w:trPr>
        <w:tc>
          <w:tcPr>
            <w:tcW w:w="1889" w:type="dxa"/>
            <w:tcBorders>
              <w:bottom w:val="single" w:sz="4" w:space="0" w:color="auto"/>
            </w:tcBorders>
            <w:hideMark/>
          </w:tcPr>
          <w:p w:rsidR="00F838B6" w:rsidRP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:rsidR="00F838B6" w:rsidRPr="00F838B6" w:rsidRDefault="00F838B6" w:rsidP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8B6" w:rsidRPr="00F838B6" w:rsidTr="004D588D">
        <w:trPr>
          <w:trHeight w:val="1950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8B6" w:rsidRDefault="00F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B6" w:rsidRPr="00F838B6" w:rsidRDefault="00F838B6" w:rsidP="00F8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B6">
              <w:rPr>
                <w:rFonts w:ascii="Times New Roman" w:hAnsi="Times New Roman" w:cs="Times New Roman"/>
                <w:sz w:val="24"/>
                <w:szCs w:val="24"/>
              </w:rPr>
              <w:t>В целях снижения негативного воздействия вредных и (или) опасных производственных факторов на работников комиссиями по проведению специальной оценки условий труда, совместно с экспертами, разработан перечень рекомендуемых мероприятий по улучшению условий труда, включающий в себя организационные мероприятия (организовать рациональные режимы труда и отдыха).</w:t>
            </w:r>
          </w:p>
        </w:tc>
      </w:tr>
    </w:tbl>
    <w:p w:rsidR="00E47A9F" w:rsidRDefault="00E47A9F"/>
    <w:sectPr w:rsidR="00E4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C"/>
    <w:rsid w:val="00371D6C"/>
    <w:rsid w:val="004D588D"/>
    <w:rsid w:val="00E47A9F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Крамеров А.Н.</dc:creator>
  <cp:keywords/>
  <dc:description/>
  <cp:lastModifiedBy>Крамеров А.Н.</cp:lastModifiedBy>
  <cp:revision>3</cp:revision>
  <dcterms:created xsi:type="dcterms:W3CDTF">2017-12-27T09:50:00Z</dcterms:created>
  <dcterms:modified xsi:type="dcterms:W3CDTF">2017-12-27T10:38:00Z</dcterms:modified>
</cp:coreProperties>
</file>